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8492E" w14:textId="77777777" w:rsidR="00145211" w:rsidRPr="00145211" w:rsidRDefault="00145211" w:rsidP="00643077">
      <w:pPr>
        <w:shd w:val="clear" w:color="auto" w:fill="FFFFFF"/>
        <w:spacing w:afterLines="60" w:after="144"/>
        <w:rPr>
          <w:rFonts w:ascii="Roboto" w:eastAsia="Times New Roman" w:hAnsi="Roboto" w:cs="Times New Roman"/>
          <w:sz w:val="24"/>
          <w:szCs w:val="24"/>
          <w:lang w:eastAsia="en-GB"/>
        </w:rPr>
      </w:pPr>
      <w:r w:rsidRPr="00145211">
        <w:rPr>
          <w:rFonts w:ascii="Roboto" w:eastAsia="Times New Roman" w:hAnsi="Roboto" w:cs="Times New Roman"/>
          <w:b/>
          <w:bCs/>
          <w:color w:val="000000"/>
          <w:sz w:val="28"/>
          <w:szCs w:val="28"/>
          <w:lang w:eastAsia="en-GB"/>
        </w:rPr>
        <w:t>How the Charity Commission can work with the charity sector to mitigate the impact of COVID-19 on charitable organisations</w:t>
      </w:r>
    </w:p>
    <w:p w14:paraId="6A4C2128" w14:textId="075F7B68" w:rsidR="00145211" w:rsidRPr="00145211" w:rsidRDefault="00145211" w:rsidP="00643077">
      <w:pPr>
        <w:shd w:val="clear" w:color="auto" w:fill="FFFFFF"/>
        <w:spacing w:afterLines="60" w:after="144"/>
        <w:rPr>
          <w:rFonts w:ascii="Roboto" w:eastAsia="Times New Roman" w:hAnsi="Roboto" w:cs="Times New Roman"/>
          <w:sz w:val="24"/>
          <w:szCs w:val="24"/>
          <w:lang w:eastAsia="en-GB"/>
        </w:rPr>
      </w:pPr>
      <w:r w:rsidRPr="00145211">
        <w:rPr>
          <w:rFonts w:ascii="Roboto" w:eastAsia="Times New Roman" w:hAnsi="Roboto" w:cs="Times New Roman"/>
          <w:b/>
          <w:bCs/>
          <w:color w:val="000000"/>
          <w:lang w:eastAsia="en-GB"/>
        </w:rPr>
        <w:t>A joint briefing from a coalition of charity membership and infrastructure bodies</w:t>
      </w:r>
    </w:p>
    <w:p w14:paraId="05A0E543" w14:textId="77777777" w:rsidR="00145211" w:rsidRPr="00145211" w:rsidRDefault="00145211" w:rsidP="00643077">
      <w:pPr>
        <w:shd w:val="clear" w:color="auto" w:fill="FFFFFF"/>
        <w:spacing w:afterLines="60" w:after="144"/>
        <w:rPr>
          <w:rFonts w:ascii="Roboto" w:eastAsia="Times New Roman" w:hAnsi="Roboto" w:cs="Times New Roman"/>
          <w:sz w:val="24"/>
          <w:szCs w:val="24"/>
          <w:lang w:eastAsia="en-GB"/>
        </w:rPr>
      </w:pPr>
      <w:r w:rsidRPr="00145211">
        <w:rPr>
          <w:rFonts w:ascii="Roboto" w:eastAsia="Times New Roman" w:hAnsi="Roboto" w:cs="Times New Roman"/>
          <w:b/>
          <w:bCs/>
          <w:color w:val="000000"/>
          <w:lang w:eastAsia="en-GB"/>
        </w:rPr>
        <w:t>18 March 2020</w:t>
      </w:r>
    </w:p>
    <w:p w14:paraId="0887DF3C" w14:textId="77777777" w:rsidR="00145211" w:rsidRPr="00145211" w:rsidRDefault="00145211" w:rsidP="00643077">
      <w:pPr>
        <w:shd w:val="clear" w:color="auto" w:fill="FFFFFF"/>
        <w:spacing w:afterLines="60" w:after="144"/>
        <w:ind w:left="360" w:hanging="360"/>
        <w:rPr>
          <w:rFonts w:ascii="Roboto" w:eastAsia="Times New Roman" w:hAnsi="Roboto" w:cs="Times New Roman"/>
          <w:sz w:val="24"/>
          <w:szCs w:val="24"/>
          <w:lang w:eastAsia="en-GB"/>
        </w:rPr>
      </w:pPr>
      <w:r w:rsidRPr="00145211">
        <w:rPr>
          <w:rFonts w:ascii="Roboto" w:eastAsia="Times New Roman" w:hAnsi="Roboto" w:cs="Times New Roman"/>
          <w:b/>
          <w:bCs/>
          <w:color w:val="000000"/>
          <w:lang w:eastAsia="en-GB"/>
        </w:rPr>
        <w:t>1.</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sz w:val="14"/>
          <w:szCs w:val="14"/>
          <w:lang w:eastAsia="en-GB"/>
        </w:rPr>
        <w:tab/>
      </w:r>
      <w:r w:rsidRPr="00145211">
        <w:rPr>
          <w:rFonts w:ascii="Roboto" w:eastAsia="Times New Roman" w:hAnsi="Roboto" w:cs="Times New Roman"/>
          <w:b/>
          <w:bCs/>
          <w:color w:val="000000"/>
          <w:lang w:eastAsia="en-GB"/>
        </w:rPr>
        <w:t>Communication</w:t>
      </w:r>
    </w:p>
    <w:p w14:paraId="5F8BB47F" w14:textId="2A2E89C8"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1.1.</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Like every other sector across many different countries, charities in England and Wales are facing a prolonged period of uncertainty about their ability to generate income. In addition to this, many charities are providing services and support on the frontline of the COVID-19 outbreak. Over the coming months they will be asked to, and more importantly want to</w:t>
      </w:r>
      <w:r w:rsidR="00F65E58">
        <w:rPr>
          <w:rFonts w:ascii="Roboto" w:eastAsia="Times New Roman" w:hAnsi="Roboto" w:cs="Times New Roman"/>
          <w:color w:val="000000"/>
          <w:lang w:eastAsia="en-GB"/>
        </w:rPr>
        <w:t>,</w:t>
      </w:r>
      <w:r w:rsidRPr="00145211">
        <w:rPr>
          <w:rFonts w:ascii="Roboto" w:eastAsia="Times New Roman" w:hAnsi="Roboto" w:cs="Times New Roman"/>
          <w:color w:val="000000"/>
          <w:lang w:eastAsia="en-GB"/>
        </w:rPr>
        <w:t xml:space="preserve"> provide increased and/or additional support to the people they serve.</w:t>
      </w:r>
    </w:p>
    <w:p w14:paraId="0D9852B8" w14:textId="77777777"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1.2.</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The Charity Commission has an important role in communicating to the public the necessity of charities’ activity in successfully tackling COVID-19 and reducing the harm experienced by people and communities.</w:t>
      </w:r>
    </w:p>
    <w:p w14:paraId="366718F9" w14:textId="77777777" w:rsidR="00181C13" w:rsidRDefault="00145211" w:rsidP="00181C13">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1.3.</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We ask the Charity Commission to be an advocate for charities within government and in outward facing communications to the public.</w:t>
      </w:r>
    </w:p>
    <w:p w14:paraId="40556193" w14:textId="1222BA21" w:rsidR="00145211" w:rsidRPr="00145211" w:rsidRDefault="00181C13" w:rsidP="00181C13">
      <w:pPr>
        <w:spacing w:afterLines="60" w:after="144"/>
        <w:ind w:left="800" w:hanging="440"/>
        <w:rPr>
          <w:rFonts w:ascii="Roboto" w:eastAsia="Times New Roman" w:hAnsi="Roboto" w:cs="Times New Roman"/>
          <w:color w:val="000000"/>
          <w:lang w:eastAsia="en-GB"/>
        </w:rPr>
      </w:pPr>
      <w:r w:rsidRPr="00181C13">
        <w:rPr>
          <w:rFonts w:ascii="Roboto" w:eastAsia="Times New Roman" w:hAnsi="Roboto" w:cs="Times New Roman"/>
          <w:color w:val="000000"/>
          <w:lang w:eastAsia="en-GB"/>
        </w:rPr>
        <w:t xml:space="preserve">1.4 </w:t>
      </w:r>
      <w:r w:rsidR="00145211" w:rsidRPr="00145211">
        <w:rPr>
          <w:rFonts w:ascii="Roboto" w:eastAsia="Times New Roman" w:hAnsi="Roboto" w:cs="Times New Roman"/>
          <w:color w:val="000000"/>
          <w:lang w:eastAsia="en-GB"/>
        </w:rPr>
        <w:t xml:space="preserve">We see the Charity Commission and Fundraising Regulator as having a joint role in promoting safe giving. This approach could be </w:t>
      </w:r>
      <w:proofErr w:type="gramStart"/>
      <w:r w:rsidR="00145211" w:rsidRPr="00145211">
        <w:rPr>
          <w:rFonts w:ascii="Roboto" w:eastAsia="Times New Roman" w:hAnsi="Roboto" w:cs="Times New Roman"/>
          <w:color w:val="000000"/>
          <w:lang w:eastAsia="en-GB"/>
        </w:rPr>
        <w:t>similar to</w:t>
      </w:r>
      <w:proofErr w:type="gramEnd"/>
      <w:r w:rsidR="00145211" w:rsidRPr="00145211">
        <w:rPr>
          <w:rFonts w:ascii="Roboto" w:eastAsia="Times New Roman" w:hAnsi="Roboto" w:cs="Times New Roman"/>
          <w:color w:val="000000"/>
          <w:lang w:eastAsia="en-GB"/>
        </w:rPr>
        <w:t xml:space="preserve"> the official guidance that the Commission produced in response to the high level of donations made following the Grenfell fire. </w:t>
      </w:r>
    </w:p>
    <w:p w14:paraId="268D2BF5" w14:textId="77777777"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1.5 Public facing communications about recognising scams and what members of the public should do if they are worried about the legitimacy of a voluntary or community group would also be welcome. There have already been reports of some people being scammed by people purporting to offer support.</w:t>
      </w:r>
    </w:p>
    <w:p w14:paraId="10DC0A88" w14:textId="77777777"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1.6.</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Within the charity sector we would welcome a statement from the Charity Commission about its approach to enforcement during this period. It should expressly commit to taking a proportionate approach and take into consideration individual charity circumstances. It is unlikely that we will be able to predict all the challenges that will arise during the outbreak, so understanding the approach the Commission will take is particularly important.</w:t>
      </w:r>
    </w:p>
    <w:p w14:paraId="648CC38B" w14:textId="77777777"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1.7 We would welcome the Charity Commission providing regular public facing updates based on the data it has gathered about the real-time impact of COVID-19 on charities</w:t>
      </w:r>
      <w:r w:rsidRPr="00145211">
        <w:rPr>
          <w:rFonts w:ascii="Roboto" w:eastAsia="Times New Roman" w:hAnsi="Roboto" w:cs="Arial"/>
          <w:color w:val="000000"/>
          <w:sz w:val="24"/>
          <w:szCs w:val="24"/>
          <w:lang w:eastAsia="en-GB"/>
        </w:rPr>
        <w:t>.  </w:t>
      </w:r>
    </w:p>
    <w:p w14:paraId="073697EC" w14:textId="77777777"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1.8.</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Alongside this, we would welcome communication from the Commission that supports an approach which encourages trustees not necessarily to avoid risk, but to make sure that tough decisions are considered, discussed and carefully documented so it is clear how and why they were made.  </w:t>
      </w:r>
    </w:p>
    <w:p w14:paraId="546EE5D7" w14:textId="77777777" w:rsidR="00145211" w:rsidRPr="00145211" w:rsidRDefault="00145211" w:rsidP="00643077">
      <w:pPr>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1.9.</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We would also like, wherever possible, for communication to be coordinated between the Charity Commission, the Office for the Scottish Regulator (OSCR) and the Charity Commission Northern Ireland (CCNI).</w:t>
      </w:r>
    </w:p>
    <w:p w14:paraId="3D745048" w14:textId="77777777" w:rsidR="00145211" w:rsidRPr="00145211" w:rsidRDefault="00145211" w:rsidP="00643077">
      <w:pPr>
        <w:shd w:val="clear" w:color="auto" w:fill="FFFFFF"/>
        <w:spacing w:afterLines="60" w:after="144"/>
        <w:ind w:left="360" w:hanging="360"/>
        <w:rPr>
          <w:rFonts w:ascii="Roboto" w:eastAsia="Times New Roman" w:hAnsi="Roboto" w:cs="Times New Roman"/>
          <w:sz w:val="24"/>
          <w:szCs w:val="24"/>
          <w:lang w:eastAsia="en-GB"/>
        </w:rPr>
      </w:pPr>
      <w:r w:rsidRPr="00145211">
        <w:rPr>
          <w:rFonts w:ascii="Roboto" w:eastAsia="Times New Roman" w:hAnsi="Roboto" w:cs="Times New Roman"/>
          <w:b/>
          <w:bCs/>
          <w:color w:val="000000"/>
          <w:lang w:eastAsia="en-GB"/>
        </w:rPr>
        <w:t>2.</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sz w:val="14"/>
          <w:szCs w:val="14"/>
          <w:lang w:eastAsia="en-GB"/>
        </w:rPr>
        <w:tab/>
      </w:r>
      <w:r w:rsidRPr="00145211">
        <w:rPr>
          <w:rFonts w:ascii="Roboto" w:eastAsia="Times New Roman" w:hAnsi="Roboto" w:cs="Times New Roman"/>
          <w:b/>
          <w:bCs/>
          <w:color w:val="000000"/>
          <w:lang w:eastAsia="en-GB"/>
        </w:rPr>
        <w:t>Audits, accounts and annual returns</w:t>
      </w:r>
    </w:p>
    <w:p w14:paraId="3238B891" w14:textId="2158BCBA" w:rsidR="00145211" w:rsidRPr="00145211" w:rsidRDefault="00145211" w:rsidP="00643077">
      <w:pPr>
        <w:shd w:val="clear" w:color="auto" w:fill="FFFFFF"/>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2.1.</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Thank you for your recent communications inviting charities to get in touch with the Commission if they are worried that the impact of COVID-19 will impact their ability to meet deadlines for submitting annual accounts.</w:t>
      </w:r>
      <w:r w:rsidR="00655944">
        <w:rPr>
          <w:rFonts w:ascii="Roboto" w:eastAsia="Times New Roman" w:hAnsi="Roboto" w:cs="Times New Roman"/>
          <w:color w:val="000000"/>
          <w:lang w:eastAsia="en-GB"/>
        </w:rPr>
        <w:t xml:space="preserve"> This is very helpful.</w:t>
      </w:r>
    </w:p>
    <w:p w14:paraId="450D676B" w14:textId="77777777" w:rsidR="00145211" w:rsidRPr="00145211" w:rsidRDefault="00145211" w:rsidP="00643077">
      <w:pPr>
        <w:shd w:val="clear" w:color="auto" w:fill="FFFFFF"/>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2.2.</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Our members would also find it helpful for the Charity Commission to provide guidance on how to report the impact of COVID-19 in trustee annual reports.</w:t>
      </w:r>
    </w:p>
    <w:p w14:paraId="2E455E6C" w14:textId="780F9ECF" w:rsidR="00145211" w:rsidRPr="00145211" w:rsidRDefault="00145211" w:rsidP="00643077">
      <w:pPr>
        <w:shd w:val="clear" w:color="auto" w:fill="FFFFFF"/>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lastRenderedPageBreak/>
        <w:t>2.3.</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 xml:space="preserve">Further to this we would welcome guidance on changes to restricted/unrestricted reporting requirements, </w:t>
      </w:r>
      <w:proofErr w:type="gramStart"/>
      <w:r w:rsidRPr="00145211">
        <w:rPr>
          <w:rFonts w:ascii="Roboto" w:eastAsia="Times New Roman" w:hAnsi="Roboto" w:cs="Times New Roman"/>
          <w:color w:val="000000"/>
          <w:lang w:eastAsia="en-GB"/>
        </w:rPr>
        <w:t>in particular whether</w:t>
      </w:r>
      <w:proofErr w:type="gramEnd"/>
      <w:r w:rsidRPr="00145211">
        <w:rPr>
          <w:rFonts w:ascii="Roboto" w:eastAsia="Times New Roman" w:hAnsi="Roboto" w:cs="Times New Roman"/>
          <w:color w:val="000000"/>
          <w:lang w:eastAsia="en-GB"/>
        </w:rPr>
        <w:t xml:space="preserve"> during this period specifically charities can use restricted funds to cover costs that would enable them to remain open. We appreciate that this issue is mostly a matter between funders and recipients, but the Commission could make it clear that it </w:t>
      </w:r>
      <w:r w:rsidR="00F71641">
        <w:rPr>
          <w:rFonts w:ascii="Roboto" w:eastAsia="Times New Roman" w:hAnsi="Roboto" w:cs="Times New Roman"/>
          <w:color w:val="000000"/>
          <w:lang w:eastAsia="en-GB"/>
        </w:rPr>
        <w:t xml:space="preserve">would </w:t>
      </w:r>
      <w:r w:rsidRPr="00145211">
        <w:rPr>
          <w:rFonts w:ascii="Roboto" w:eastAsia="Times New Roman" w:hAnsi="Roboto" w:cs="Times New Roman"/>
          <w:color w:val="000000"/>
          <w:lang w:eastAsia="en-GB"/>
        </w:rPr>
        <w:t>look favourably upon this kind of flexibility within the law.</w:t>
      </w:r>
    </w:p>
    <w:p w14:paraId="6CBE2C63" w14:textId="5FD2B3C6" w:rsidR="00145211" w:rsidRPr="00145211" w:rsidRDefault="00145211" w:rsidP="00643077">
      <w:pPr>
        <w:shd w:val="clear" w:color="auto" w:fill="FFFFFF"/>
        <w:spacing w:afterLines="60" w:after="144"/>
        <w:rPr>
          <w:rFonts w:ascii="Roboto" w:eastAsia="Times New Roman" w:hAnsi="Roboto" w:cs="Times New Roman"/>
          <w:sz w:val="24"/>
          <w:szCs w:val="24"/>
          <w:lang w:eastAsia="en-GB"/>
        </w:rPr>
      </w:pPr>
      <w:r w:rsidRPr="00145211">
        <w:rPr>
          <w:rFonts w:ascii="Roboto" w:eastAsia="Times New Roman" w:hAnsi="Roboto" w:cs="Times New Roman"/>
          <w:b/>
          <w:bCs/>
          <w:color w:val="000000"/>
          <w:lang w:eastAsia="en-GB"/>
        </w:rPr>
        <w:t>3.</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sz w:val="14"/>
          <w:szCs w:val="14"/>
          <w:lang w:eastAsia="en-GB"/>
        </w:rPr>
        <w:tab/>
      </w:r>
      <w:r w:rsidRPr="00145211">
        <w:rPr>
          <w:rFonts w:ascii="Roboto" w:eastAsia="Times New Roman" w:hAnsi="Roboto" w:cs="Times New Roman"/>
          <w:b/>
          <w:bCs/>
          <w:color w:val="000000"/>
          <w:lang w:eastAsia="en-GB"/>
        </w:rPr>
        <w:t>Board meetings and AGMs</w:t>
      </w:r>
    </w:p>
    <w:p w14:paraId="56B9CD5F" w14:textId="77777777" w:rsidR="00145211" w:rsidRPr="00145211" w:rsidRDefault="00145211" w:rsidP="00643077">
      <w:pPr>
        <w:shd w:val="clear" w:color="auto" w:fill="FFFFFF"/>
        <w:spacing w:afterLines="60" w:after="144"/>
        <w:ind w:left="800" w:hanging="440"/>
        <w:rPr>
          <w:rFonts w:ascii="Roboto" w:eastAsia="Times New Roman" w:hAnsi="Roboto" w:cs="Times New Roman"/>
          <w:sz w:val="24"/>
          <w:szCs w:val="24"/>
          <w:lang w:eastAsia="en-GB"/>
        </w:rPr>
      </w:pPr>
      <w:bookmarkStart w:id="0" w:name="_GoBack"/>
      <w:r w:rsidRPr="00145211">
        <w:rPr>
          <w:rFonts w:ascii="Roboto" w:eastAsia="Times New Roman" w:hAnsi="Roboto" w:cs="Times New Roman"/>
          <w:color w:val="000000"/>
          <w:lang w:eastAsia="en-GB"/>
        </w:rPr>
        <w:t>3.1.</w:t>
      </w:r>
      <w:r w:rsidRPr="00145211">
        <w:rPr>
          <w:rFonts w:ascii="Roboto" w:eastAsia="Times New Roman" w:hAnsi="Roboto" w:cs="Times New Roman"/>
          <w:color w:val="000000"/>
          <w:sz w:val="14"/>
          <w:szCs w:val="14"/>
          <w:lang w:eastAsia="en-GB"/>
        </w:rPr>
        <w:t xml:space="preserve">  </w:t>
      </w:r>
      <w:bookmarkEnd w:id="0"/>
      <w:r w:rsidRPr="00145211">
        <w:rPr>
          <w:rFonts w:ascii="Roboto" w:eastAsia="Times New Roman" w:hAnsi="Roboto" w:cs="Times New Roman"/>
          <w:color w:val="000000"/>
          <w:lang w:eastAsia="en-GB"/>
        </w:rPr>
        <w:t xml:space="preserve">Existing Charity Commission guidance states that if a charity’s governing document requires meetings but does not provide a definition of this then people must be able to see and hear each other. This excludes teleconferencing. We understand that Charity Commission staff have advised individuals enquiring on this issue that </w:t>
      </w:r>
      <w:proofErr w:type="gramStart"/>
      <w:r w:rsidRPr="00145211">
        <w:rPr>
          <w:rFonts w:ascii="Roboto" w:eastAsia="Times New Roman" w:hAnsi="Roboto" w:cs="Times New Roman"/>
          <w:color w:val="000000"/>
          <w:lang w:eastAsia="en-GB"/>
        </w:rPr>
        <w:t>as long as</w:t>
      </w:r>
      <w:proofErr w:type="gramEnd"/>
      <w:r w:rsidRPr="00145211">
        <w:rPr>
          <w:rFonts w:ascii="Roboto" w:eastAsia="Times New Roman" w:hAnsi="Roboto" w:cs="Times New Roman"/>
          <w:color w:val="000000"/>
          <w:lang w:eastAsia="en-GB"/>
        </w:rPr>
        <w:t xml:space="preserve"> the reason is well-documented trustees can hold meetings remotely even if there is no provision in the governing documents. A public statement to that effect would be reassuring for trustees.</w:t>
      </w:r>
    </w:p>
    <w:p w14:paraId="310895A5" w14:textId="77777777" w:rsidR="00145211" w:rsidRPr="00145211" w:rsidRDefault="00145211" w:rsidP="00643077">
      <w:pPr>
        <w:shd w:val="clear" w:color="auto" w:fill="FFFFFF"/>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3.2.</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In addition to 3.1 we would like to see guidance on the status of board decisions when meetings are held online or decisions are made via email, or if it is not possible to reach a required quorum due to the impact of COVID-19.</w:t>
      </w:r>
    </w:p>
    <w:p w14:paraId="79F32E87" w14:textId="77777777" w:rsidR="004311A8" w:rsidRDefault="00145211" w:rsidP="004311A8">
      <w:pPr>
        <w:shd w:val="clear" w:color="auto" w:fill="FFFFFF"/>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3.3.</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Guidance from the Commission would be useful regarding how to handle annual general meetings if physical meetings cannot go ahead, especially if governing documents have strict quorum requirements and do not allow for virtual meetings.</w:t>
      </w:r>
    </w:p>
    <w:p w14:paraId="6F8EA963" w14:textId="2ED34462" w:rsidR="00145211" w:rsidRPr="00145211" w:rsidRDefault="00145211" w:rsidP="004311A8">
      <w:pPr>
        <w:shd w:val="clear" w:color="auto" w:fill="FFFFFF"/>
        <w:spacing w:afterLines="60" w:after="144"/>
        <w:ind w:left="800" w:hanging="44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3.4.</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Broadly speaking we would like permission from the Charity Commission to temporarily suspend some aspects of governing documents as trustees see fit, with the proviso in point 1.5 that all decisions be carefully and thoroughly documented. We realise this is an extraordinary ask but think it is a proportionate response in a time of national crisis in order to keep many charities operational and delivering services to vulnerable communities. This could be a rolling suspension, reviewed on a fortnightly or monthly basis with the support of membership and infrastructure organisations.</w:t>
      </w:r>
    </w:p>
    <w:p w14:paraId="1648B78B" w14:textId="5380F9F3" w:rsidR="00145211" w:rsidRPr="00145211" w:rsidRDefault="00145211" w:rsidP="004311A8">
      <w:pPr>
        <w:shd w:val="clear" w:color="auto" w:fill="FFFFFF"/>
        <w:spacing w:afterLines="60" w:after="144"/>
        <w:rPr>
          <w:rFonts w:ascii="Roboto" w:eastAsia="Times New Roman" w:hAnsi="Roboto" w:cs="Times New Roman"/>
          <w:sz w:val="24"/>
          <w:szCs w:val="24"/>
          <w:lang w:eastAsia="en-GB"/>
        </w:rPr>
      </w:pPr>
      <w:r w:rsidRPr="00145211">
        <w:rPr>
          <w:rFonts w:ascii="Roboto" w:eastAsia="Times New Roman" w:hAnsi="Roboto" w:cs="Times New Roman"/>
          <w:b/>
          <w:bCs/>
          <w:color w:val="000000"/>
          <w:lang w:eastAsia="en-GB"/>
        </w:rPr>
        <w:t>4.</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sz w:val="14"/>
          <w:szCs w:val="14"/>
          <w:lang w:eastAsia="en-GB"/>
        </w:rPr>
        <w:tab/>
      </w:r>
      <w:r w:rsidRPr="00145211">
        <w:rPr>
          <w:rFonts w:ascii="Roboto" w:eastAsia="Times New Roman" w:hAnsi="Roboto" w:cs="Times New Roman"/>
          <w:b/>
          <w:bCs/>
          <w:color w:val="000000"/>
          <w:lang w:eastAsia="en-GB"/>
        </w:rPr>
        <w:t>Charity objects</w:t>
      </w:r>
    </w:p>
    <w:p w14:paraId="2C0915B3" w14:textId="636610DF" w:rsidR="00CF6983" w:rsidRPr="00145211" w:rsidRDefault="00145211" w:rsidP="00CF6983">
      <w:pPr>
        <w:shd w:val="clear" w:color="auto" w:fill="FFFFFF"/>
        <w:spacing w:afterLines="60" w:after="144"/>
        <w:ind w:left="800" w:hanging="440"/>
        <w:rPr>
          <w:rFonts w:ascii="Roboto" w:eastAsia="Times New Roman" w:hAnsi="Roboto" w:cs="Times New Roman"/>
          <w:color w:val="000000"/>
          <w:lang w:eastAsia="en-GB"/>
        </w:rPr>
      </w:pPr>
      <w:r w:rsidRPr="00145211">
        <w:rPr>
          <w:rFonts w:ascii="Roboto" w:eastAsia="Times New Roman" w:hAnsi="Roboto" w:cs="Times New Roman"/>
          <w:color w:val="000000"/>
          <w:lang w:eastAsia="en-GB"/>
        </w:rPr>
        <w:t>4.1 Similarly to paragraph 3.4, we would like the requirements around charity objects to be relaxed so that charities who act outside their stated objects in order to help their communities tackle the effects of COVID-19 do not need to fear legal or regulatory sanction. For example, this is particularly important to hospices as they are being asked to take step-down patients from NHS Hospitals to free up space for COVID-19 patients and some have strict objects that would prevent them nursing these additional patients even if, as expected they will be fully reimbursed by the NHS.</w:t>
      </w:r>
    </w:p>
    <w:p w14:paraId="3B729352" w14:textId="77777777" w:rsidR="00145211" w:rsidRPr="00145211" w:rsidRDefault="00145211" w:rsidP="00643077">
      <w:pPr>
        <w:shd w:val="clear" w:color="auto" w:fill="FFFFFF"/>
        <w:spacing w:afterLines="60" w:after="144"/>
        <w:ind w:left="860" w:hanging="420"/>
        <w:rPr>
          <w:rFonts w:ascii="Roboto" w:eastAsia="Times New Roman" w:hAnsi="Roboto" w:cs="Times New Roman"/>
          <w:sz w:val="24"/>
          <w:szCs w:val="24"/>
          <w:lang w:eastAsia="en-GB"/>
        </w:rPr>
      </w:pPr>
      <w:r w:rsidRPr="00145211">
        <w:rPr>
          <w:rFonts w:ascii="Roboto" w:eastAsia="Times New Roman" w:hAnsi="Roboto" w:cs="Times New Roman"/>
          <w:color w:val="000000"/>
          <w:lang w:eastAsia="en-GB"/>
        </w:rPr>
        <w:t>4.2</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If charity objects cannot be relaxed, then speeding up requests to relax objects could be a secondary option. This would be a similar approach to OSCR which said on 13 March that it will “…put in place a process aimed at approving such changes [to charity objects] as quickly as possible.”</w:t>
      </w:r>
    </w:p>
    <w:p w14:paraId="202E6611" w14:textId="77777777" w:rsidR="00145211" w:rsidRPr="00145211" w:rsidRDefault="00145211" w:rsidP="00CF6983">
      <w:pPr>
        <w:shd w:val="clear" w:color="auto" w:fill="FFFFFF"/>
        <w:spacing w:afterLines="60" w:after="144"/>
        <w:rPr>
          <w:rFonts w:ascii="Roboto" w:eastAsia="Times New Roman" w:hAnsi="Roboto" w:cs="Times New Roman"/>
          <w:sz w:val="24"/>
          <w:szCs w:val="24"/>
          <w:lang w:eastAsia="en-GB"/>
        </w:rPr>
      </w:pPr>
      <w:r w:rsidRPr="00145211">
        <w:rPr>
          <w:rFonts w:ascii="Roboto" w:eastAsia="Times New Roman" w:hAnsi="Roboto" w:cs="Times New Roman"/>
          <w:b/>
          <w:bCs/>
          <w:color w:val="201F1E"/>
          <w:lang w:eastAsia="en-GB"/>
        </w:rPr>
        <w:t>5.</w:t>
      </w:r>
      <w:r w:rsidRPr="00145211">
        <w:rPr>
          <w:rFonts w:ascii="Roboto" w:eastAsia="Times New Roman" w:hAnsi="Roboto" w:cs="Times New Roman"/>
          <w:color w:val="201F1E"/>
          <w:sz w:val="14"/>
          <w:szCs w:val="14"/>
          <w:lang w:eastAsia="en-GB"/>
        </w:rPr>
        <w:t xml:space="preserve">     </w:t>
      </w:r>
      <w:r w:rsidRPr="00145211">
        <w:rPr>
          <w:rFonts w:ascii="Roboto" w:eastAsia="Times New Roman" w:hAnsi="Roboto" w:cs="Times New Roman"/>
          <w:b/>
          <w:bCs/>
          <w:color w:val="000000"/>
          <w:lang w:eastAsia="en-GB"/>
        </w:rPr>
        <w:t>Coordination with other regulators as appropriate</w:t>
      </w:r>
    </w:p>
    <w:p w14:paraId="79274B43" w14:textId="622E6D8B" w:rsidR="00392E45" w:rsidRPr="00C60AC9" w:rsidRDefault="00145211" w:rsidP="00C60AC9">
      <w:pPr>
        <w:shd w:val="clear" w:color="auto" w:fill="FFFFFF"/>
        <w:spacing w:afterLines="60" w:after="144"/>
        <w:ind w:left="720" w:hanging="360"/>
        <w:rPr>
          <w:rFonts w:ascii="Roboto" w:eastAsia="Times New Roman" w:hAnsi="Roboto" w:cs="Times New Roman"/>
          <w:sz w:val="24"/>
          <w:szCs w:val="24"/>
          <w:lang w:eastAsia="en-GB"/>
        </w:rPr>
      </w:pPr>
      <w:r w:rsidRPr="00145211">
        <w:rPr>
          <w:rFonts w:ascii="Roboto" w:eastAsia="Times New Roman" w:hAnsi="Roboto" w:cs="Times New Roman"/>
          <w:color w:val="000000"/>
          <w:sz w:val="24"/>
          <w:szCs w:val="24"/>
          <w:lang w:eastAsia="en-GB"/>
        </w:rPr>
        <w:t>5.1</w:t>
      </w:r>
      <w:r w:rsidRPr="00145211">
        <w:rPr>
          <w:rFonts w:ascii="Roboto" w:eastAsia="Times New Roman" w:hAnsi="Roboto" w:cs="Times New Roman"/>
          <w:color w:val="000000"/>
          <w:sz w:val="14"/>
          <w:szCs w:val="14"/>
          <w:lang w:eastAsia="en-GB"/>
        </w:rPr>
        <w:t xml:space="preserve"> </w:t>
      </w:r>
      <w:r w:rsidRPr="00145211">
        <w:rPr>
          <w:rFonts w:ascii="Roboto" w:eastAsia="Times New Roman" w:hAnsi="Roboto" w:cs="Times New Roman"/>
          <w:color w:val="000000"/>
          <w:lang w:eastAsia="en-GB"/>
        </w:rPr>
        <w:t>This is relevant for the Fundraising Regulator (and the Scottish Fundraising Standards Panel) as some areas (like restricted funds) may overlap. It is also relevant for OSCR and CCNI. A similar approach by regulators throughout the UK's jurisdictions would particularly help cross-border charities</w:t>
      </w:r>
      <w:r w:rsidR="00C60AC9">
        <w:rPr>
          <w:rFonts w:ascii="Roboto" w:eastAsia="Times New Roman" w:hAnsi="Roboto" w:cs="Times New Roman"/>
          <w:color w:val="000000"/>
          <w:lang w:eastAsia="en-GB"/>
        </w:rPr>
        <w:t>.</w:t>
      </w:r>
    </w:p>
    <w:sectPr w:rsidR="00392E45" w:rsidRPr="00C60AC9" w:rsidSect="00C60AC9">
      <w:pgSz w:w="11906" w:h="16838"/>
      <w:pgMar w:top="1135" w:right="1440" w:bottom="993"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F120" w14:textId="77777777" w:rsidR="00CD2AF9" w:rsidRDefault="00CD2AF9" w:rsidP="00643077">
      <w:r>
        <w:separator/>
      </w:r>
    </w:p>
  </w:endnote>
  <w:endnote w:type="continuationSeparator" w:id="0">
    <w:p w14:paraId="032A9AE1" w14:textId="77777777" w:rsidR="00CD2AF9" w:rsidRDefault="00CD2AF9" w:rsidP="00643077">
      <w:r>
        <w:continuationSeparator/>
      </w:r>
    </w:p>
  </w:endnote>
  <w:endnote w:type="continuationNotice" w:id="1">
    <w:p w14:paraId="3776FBF2" w14:textId="77777777" w:rsidR="00CD2AF9" w:rsidRDefault="00CD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2C053" w14:textId="77777777" w:rsidR="00CD2AF9" w:rsidRDefault="00CD2AF9" w:rsidP="00643077">
      <w:r>
        <w:separator/>
      </w:r>
    </w:p>
  </w:footnote>
  <w:footnote w:type="continuationSeparator" w:id="0">
    <w:p w14:paraId="0E10538D" w14:textId="77777777" w:rsidR="00CD2AF9" w:rsidRDefault="00CD2AF9" w:rsidP="00643077">
      <w:r>
        <w:continuationSeparator/>
      </w:r>
    </w:p>
  </w:footnote>
  <w:footnote w:type="continuationNotice" w:id="1">
    <w:p w14:paraId="0049DBFB" w14:textId="77777777" w:rsidR="00CD2AF9" w:rsidRDefault="00CD2A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B67"/>
    <w:multiLevelType w:val="multilevel"/>
    <w:tmpl w:val="C90C8908"/>
    <w:lvl w:ilvl="0">
      <w:start w:val="4"/>
      <w:numFmt w:val="decimal"/>
      <w:lvlText w:val="%1"/>
      <w:lvlJc w:val="left"/>
      <w:pPr>
        <w:ind w:left="360" w:hanging="360"/>
      </w:pPr>
      <w:rPr>
        <w:rFonts w:eastAsiaTheme="minorHAnsi" w:cs="Arial" w:hint="default"/>
        <w:b w:val="0"/>
      </w:rPr>
    </w:lvl>
    <w:lvl w:ilvl="1">
      <w:start w:val="1"/>
      <w:numFmt w:val="decimal"/>
      <w:lvlText w:val="%1.%2"/>
      <w:lvlJc w:val="left"/>
      <w:pPr>
        <w:ind w:left="360" w:hanging="360"/>
      </w:pPr>
      <w:rPr>
        <w:rFonts w:eastAsiaTheme="minorHAnsi" w:cs="Arial" w:hint="default"/>
        <w:b w:val="0"/>
      </w:rPr>
    </w:lvl>
    <w:lvl w:ilvl="2">
      <w:start w:val="1"/>
      <w:numFmt w:val="decimal"/>
      <w:lvlText w:val="%1.%2.%3"/>
      <w:lvlJc w:val="left"/>
      <w:pPr>
        <w:ind w:left="720" w:hanging="720"/>
      </w:pPr>
      <w:rPr>
        <w:rFonts w:eastAsiaTheme="minorHAnsi" w:cs="Arial" w:hint="default"/>
        <w:b w:val="0"/>
      </w:rPr>
    </w:lvl>
    <w:lvl w:ilvl="3">
      <w:start w:val="1"/>
      <w:numFmt w:val="decimal"/>
      <w:lvlText w:val="%1.%2.%3.%4"/>
      <w:lvlJc w:val="left"/>
      <w:pPr>
        <w:ind w:left="720" w:hanging="720"/>
      </w:pPr>
      <w:rPr>
        <w:rFonts w:eastAsiaTheme="minorHAnsi" w:cs="Arial" w:hint="default"/>
        <w:b w:val="0"/>
      </w:rPr>
    </w:lvl>
    <w:lvl w:ilvl="4">
      <w:start w:val="1"/>
      <w:numFmt w:val="decimal"/>
      <w:lvlText w:val="%1.%2.%3.%4.%5"/>
      <w:lvlJc w:val="left"/>
      <w:pPr>
        <w:ind w:left="1080" w:hanging="1080"/>
      </w:pPr>
      <w:rPr>
        <w:rFonts w:eastAsiaTheme="minorHAnsi" w:cs="Arial" w:hint="default"/>
        <w:b w:val="0"/>
      </w:rPr>
    </w:lvl>
    <w:lvl w:ilvl="5">
      <w:start w:val="1"/>
      <w:numFmt w:val="decimal"/>
      <w:lvlText w:val="%1.%2.%3.%4.%5.%6"/>
      <w:lvlJc w:val="left"/>
      <w:pPr>
        <w:ind w:left="1440" w:hanging="1440"/>
      </w:pPr>
      <w:rPr>
        <w:rFonts w:eastAsiaTheme="minorHAnsi" w:cs="Arial" w:hint="default"/>
        <w:b w:val="0"/>
      </w:rPr>
    </w:lvl>
    <w:lvl w:ilvl="6">
      <w:start w:val="1"/>
      <w:numFmt w:val="decimal"/>
      <w:lvlText w:val="%1.%2.%3.%4.%5.%6.%7"/>
      <w:lvlJc w:val="left"/>
      <w:pPr>
        <w:ind w:left="1440" w:hanging="1440"/>
      </w:pPr>
      <w:rPr>
        <w:rFonts w:eastAsiaTheme="minorHAnsi" w:cs="Arial" w:hint="default"/>
        <w:b w:val="0"/>
      </w:rPr>
    </w:lvl>
    <w:lvl w:ilvl="7">
      <w:start w:val="1"/>
      <w:numFmt w:val="decimal"/>
      <w:lvlText w:val="%1.%2.%3.%4.%5.%6.%7.%8"/>
      <w:lvlJc w:val="left"/>
      <w:pPr>
        <w:ind w:left="1800" w:hanging="1800"/>
      </w:pPr>
      <w:rPr>
        <w:rFonts w:eastAsiaTheme="minorHAnsi" w:cs="Arial" w:hint="default"/>
        <w:b w:val="0"/>
      </w:rPr>
    </w:lvl>
    <w:lvl w:ilvl="8">
      <w:start w:val="1"/>
      <w:numFmt w:val="decimal"/>
      <w:lvlText w:val="%1.%2.%3.%4.%5.%6.%7.%8.%9"/>
      <w:lvlJc w:val="left"/>
      <w:pPr>
        <w:ind w:left="1800" w:hanging="1800"/>
      </w:pPr>
      <w:rPr>
        <w:rFonts w:eastAsiaTheme="minorHAnsi" w:cs="Arial" w:hint="default"/>
        <w:b w:val="0"/>
      </w:rPr>
    </w:lvl>
  </w:abstractNum>
  <w:abstractNum w:abstractNumId="1" w15:restartNumberingAfterBreak="0">
    <w:nsid w:val="05A53D8D"/>
    <w:multiLevelType w:val="hybridMultilevel"/>
    <w:tmpl w:val="29669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222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071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D370DE"/>
    <w:multiLevelType w:val="multilevel"/>
    <w:tmpl w:val="A5D673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4162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E12B10"/>
    <w:multiLevelType w:val="multilevel"/>
    <w:tmpl w:val="EA1233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7574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4C031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52902"/>
    <w:multiLevelType w:val="multilevel"/>
    <w:tmpl w:val="C90C8908"/>
    <w:lvl w:ilvl="0">
      <w:start w:val="4"/>
      <w:numFmt w:val="decimal"/>
      <w:lvlText w:val="%1"/>
      <w:lvlJc w:val="left"/>
      <w:pPr>
        <w:ind w:left="360" w:hanging="360"/>
      </w:pPr>
      <w:rPr>
        <w:rFonts w:eastAsiaTheme="minorHAnsi" w:cs="Arial" w:hint="default"/>
        <w:b w:val="0"/>
      </w:rPr>
    </w:lvl>
    <w:lvl w:ilvl="1">
      <w:start w:val="1"/>
      <w:numFmt w:val="decimal"/>
      <w:lvlText w:val="%1.%2"/>
      <w:lvlJc w:val="left"/>
      <w:pPr>
        <w:ind w:left="360" w:hanging="360"/>
      </w:pPr>
      <w:rPr>
        <w:rFonts w:eastAsiaTheme="minorHAnsi" w:cs="Arial" w:hint="default"/>
        <w:b w:val="0"/>
      </w:rPr>
    </w:lvl>
    <w:lvl w:ilvl="2">
      <w:start w:val="1"/>
      <w:numFmt w:val="decimal"/>
      <w:lvlText w:val="%1.%2.%3"/>
      <w:lvlJc w:val="left"/>
      <w:pPr>
        <w:ind w:left="720" w:hanging="720"/>
      </w:pPr>
      <w:rPr>
        <w:rFonts w:eastAsiaTheme="minorHAnsi" w:cs="Arial" w:hint="default"/>
        <w:b w:val="0"/>
      </w:rPr>
    </w:lvl>
    <w:lvl w:ilvl="3">
      <w:start w:val="1"/>
      <w:numFmt w:val="decimal"/>
      <w:lvlText w:val="%1.%2.%3.%4"/>
      <w:lvlJc w:val="left"/>
      <w:pPr>
        <w:ind w:left="720" w:hanging="720"/>
      </w:pPr>
      <w:rPr>
        <w:rFonts w:eastAsiaTheme="minorHAnsi" w:cs="Arial" w:hint="default"/>
        <w:b w:val="0"/>
      </w:rPr>
    </w:lvl>
    <w:lvl w:ilvl="4">
      <w:start w:val="1"/>
      <w:numFmt w:val="decimal"/>
      <w:lvlText w:val="%1.%2.%3.%4.%5"/>
      <w:lvlJc w:val="left"/>
      <w:pPr>
        <w:ind w:left="1080" w:hanging="1080"/>
      </w:pPr>
      <w:rPr>
        <w:rFonts w:eastAsiaTheme="minorHAnsi" w:cs="Arial" w:hint="default"/>
        <w:b w:val="0"/>
      </w:rPr>
    </w:lvl>
    <w:lvl w:ilvl="5">
      <w:start w:val="1"/>
      <w:numFmt w:val="decimal"/>
      <w:lvlText w:val="%1.%2.%3.%4.%5.%6"/>
      <w:lvlJc w:val="left"/>
      <w:pPr>
        <w:ind w:left="1440" w:hanging="1440"/>
      </w:pPr>
      <w:rPr>
        <w:rFonts w:eastAsiaTheme="minorHAnsi" w:cs="Arial" w:hint="default"/>
        <w:b w:val="0"/>
      </w:rPr>
    </w:lvl>
    <w:lvl w:ilvl="6">
      <w:start w:val="1"/>
      <w:numFmt w:val="decimal"/>
      <w:lvlText w:val="%1.%2.%3.%4.%5.%6.%7"/>
      <w:lvlJc w:val="left"/>
      <w:pPr>
        <w:ind w:left="1440" w:hanging="1440"/>
      </w:pPr>
      <w:rPr>
        <w:rFonts w:eastAsiaTheme="minorHAnsi" w:cs="Arial" w:hint="default"/>
        <w:b w:val="0"/>
      </w:rPr>
    </w:lvl>
    <w:lvl w:ilvl="7">
      <w:start w:val="1"/>
      <w:numFmt w:val="decimal"/>
      <w:lvlText w:val="%1.%2.%3.%4.%5.%6.%7.%8"/>
      <w:lvlJc w:val="left"/>
      <w:pPr>
        <w:ind w:left="1800" w:hanging="1800"/>
      </w:pPr>
      <w:rPr>
        <w:rFonts w:eastAsiaTheme="minorHAnsi" w:cs="Arial" w:hint="default"/>
        <w:b w:val="0"/>
      </w:rPr>
    </w:lvl>
    <w:lvl w:ilvl="8">
      <w:start w:val="1"/>
      <w:numFmt w:val="decimal"/>
      <w:lvlText w:val="%1.%2.%3.%4.%5.%6.%7.%8.%9"/>
      <w:lvlJc w:val="left"/>
      <w:pPr>
        <w:ind w:left="1800" w:hanging="1800"/>
      </w:pPr>
      <w:rPr>
        <w:rFonts w:eastAsiaTheme="minorHAnsi" w:cs="Arial" w:hint="default"/>
        <w:b w:val="0"/>
      </w:rPr>
    </w:lvl>
  </w:abstractNum>
  <w:abstractNum w:abstractNumId="10" w15:restartNumberingAfterBreak="0">
    <w:nsid w:val="2BF76E88"/>
    <w:multiLevelType w:val="multilevel"/>
    <w:tmpl w:val="C90C8908"/>
    <w:lvl w:ilvl="0">
      <w:start w:val="4"/>
      <w:numFmt w:val="decimal"/>
      <w:lvlText w:val="%1"/>
      <w:lvlJc w:val="left"/>
      <w:pPr>
        <w:ind w:left="360" w:hanging="360"/>
      </w:pPr>
      <w:rPr>
        <w:rFonts w:eastAsiaTheme="minorHAnsi" w:cs="Arial" w:hint="default"/>
        <w:b w:val="0"/>
      </w:rPr>
    </w:lvl>
    <w:lvl w:ilvl="1">
      <w:start w:val="1"/>
      <w:numFmt w:val="decimal"/>
      <w:lvlText w:val="%1.%2"/>
      <w:lvlJc w:val="left"/>
      <w:pPr>
        <w:ind w:left="360" w:hanging="360"/>
      </w:pPr>
      <w:rPr>
        <w:rFonts w:eastAsiaTheme="minorHAnsi" w:cs="Arial" w:hint="default"/>
        <w:b w:val="0"/>
      </w:rPr>
    </w:lvl>
    <w:lvl w:ilvl="2">
      <w:start w:val="1"/>
      <w:numFmt w:val="decimal"/>
      <w:lvlText w:val="%1.%2.%3"/>
      <w:lvlJc w:val="left"/>
      <w:pPr>
        <w:ind w:left="720" w:hanging="720"/>
      </w:pPr>
      <w:rPr>
        <w:rFonts w:eastAsiaTheme="minorHAnsi" w:cs="Arial" w:hint="default"/>
        <w:b w:val="0"/>
      </w:rPr>
    </w:lvl>
    <w:lvl w:ilvl="3">
      <w:start w:val="1"/>
      <w:numFmt w:val="decimal"/>
      <w:lvlText w:val="%1.%2.%3.%4"/>
      <w:lvlJc w:val="left"/>
      <w:pPr>
        <w:ind w:left="720" w:hanging="720"/>
      </w:pPr>
      <w:rPr>
        <w:rFonts w:eastAsiaTheme="minorHAnsi" w:cs="Arial" w:hint="default"/>
        <w:b w:val="0"/>
      </w:rPr>
    </w:lvl>
    <w:lvl w:ilvl="4">
      <w:start w:val="1"/>
      <w:numFmt w:val="decimal"/>
      <w:lvlText w:val="%1.%2.%3.%4.%5"/>
      <w:lvlJc w:val="left"/>
      <w:pPr>
        <w:ind w:left="1080" w:hanging="1080"/>
      </w:pPr>
      <w:rPr>
        <w:rFonts w:eastAsiaTheme="minorHAnsi" w:cs="Arial" w:hint="default"/>
        <w:b w:val="0"/>
      </w:rPr>
    </w:lvl>
    <w:lvl w:ilvl="5">
      <w:start w:val="1"/>
      <w:numFmt w:val="decimal"/>
      <w:lvlText w:val="%1.%2.%3.%4.%5.%6"/>
      <w:lvlJc w:val="left"/>
      <w:pPr>
        <w:ind w:left="1440" w:hanging="1440"/>
      </w:pPr>
      <w:rPr>
        <w:rFonts w:eastAsiaTheme="minorHAnsi" w:cs="Arial" w:hint="default"/>
        <w:b w:val="0"/>
      </w:rPr>
    </w:lvl>
    <w:lvl w:ilvl="6">
      <w:start w:val="1"/>
      <w:numFmt w:val="decimal"/>
      <w:lvlText w:val="%1.%2.%3.%4.%5.%6.%7"/>
      <w:lvlJc w:val="left"/>
      <w:pPr>
        <w:ind w:left="1440" w:hanging="1440"/>
      </w:pPr>
      <w:rPr>
        <w:rFonts w:eastAsiaTheme="minorHAnsi" w:cs="Arial" w:hint="default"/>
        <w:b w:val="0"/>
      </w:rPr>
    </w:lvl>
    <w:lvl w:ilvl="7">
      <w:start w:val="1"/>
      <w:numFmt w:val="decimal"/>
      <w:lvlText w:val="%1.%2.%3.%4.%5.%6.%7.%8"/>
      <w:lvlJc w:val="left"/>
      <w:pPr>
        <w:ind w:left="1800" w:hanging="1800"/>
      </w:pPr>
      <w:rPr>
        <w:rFonts w:eastAsiaTheme="minorHAnsi" w:cs="Arial" w:hint="default"/>
        <w:b w:val="0"/>
      </w:rPr>
    </w:lvl>
    <w:lvl w:ilvl="8">
      <w:start w:val="1"/>
      <w:numFmt w:val="decimal"/>
      <w:lvlText w:val="%1.%2.%3.%4.%5.%6.%7.%8.%9"/>
      <w:lvlJc w:val="left"/>
      <w:pPr>
        <w:ind w:left="1800" w:hanging="1800"/>
      </w:pPr>
      <w:rPr>
        <w:rFonts w:eastAsiaTheme="minorHAnsi" w:cs="Arial" w:hint="default"/>
        <w:b w:val="0"/>
      </w:rPr>
    </w:lvl>
  </w:abstractNum>
  <w:abstractNum w:abstractNumId="11" w15:restartNumberingAfterBreak="0">
    <w:nsid w:val="3A0336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FD1B49"/>
    <w:multiLevelType w:val="multilevel"/>
    <w:tmpl w:val="0054D3C4"/>
    <w:lvl w:ilvl="0">
      <w:start w:val="3"/>
      <w:numFmt w:val="decimal"/>
      <w:lvlText w:val="%1"/>
      <w:lvlJc w:val="left"/>
      <w:pPr>
        <w:ind w:left="360" w:hanging="360"/>
      </w:pPr>
      <w:rPr>
        <w:rFonts w:hint="default"/>
        <w:color w:val="000000"/>
        <w:sz w:val="24"/>
      </w:rPr>
    </w:lvl>
    <w:lvl w:ilvl="1">
      <w:start w:val="2"/>
      <w:numFmt w:val="decimal"/>
      <w:lvlText w:val="%1.%2"/>
      <w:lvlJc w:val="left"/>
      <w:pPr>
        <w:ind w:left="720" w:hanging="36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3960" w:hanging="1440"/>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13" w15:restartNumberingAfterBreak="0">
    <w:nsid w:val="3FA42638"/>
    <w:multiLevelType w:val="multilevel"/>
    <w:tmpl w:val="B6A2E8D2"/>
    <w:lvl w:ilvl="0">
      <w:start w:val="5"/>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3960" w:hanging="1440"/>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14" w15:restartNumberingAfterBreak="0">
    <w:nsid w:val="429217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017A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5D7817"/>
    <w:multiLevelType w:val="hybridMultilevel"/>
    <w:tmpl w:val="9B3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D673B"/>
    <w:multiLevelType w:val="multilevel"/>
    <w:tmpl w:val="7D2A53E8"/>
    <w:lvl w:ilvl="0">
      <w:start w:val="2"/>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1800" w:hanging="1800"/>
      </w:pPr>
      <w:rPr>
        <w:rFonts w:cs="Calibri" w:hint="default"/>
      </w:rPr>
    </w:lvl>
  </w:abstractNum>
  <w:abstractNum w:abstractNumId="18" w15:restartNumberingAfterBreak="0">
    <w:nsid w:val="52217D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DC44AA"/>
    <w:multiLevelType w:val="multilevel"/>
    <w:tmpl w:val="F8A6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F15BE9"/>
    <w:multiLevelType w:val="multilevel"/>
    <w:tmpl w:val="7D2A53E8"/>
    <w:lvl w:ilvl="0">
      <w:start w:val="2"/>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1800" w:hanging="1800"/>
      </w:pPr>
      <w:rPr>
        <w:rFonts w:cs="Calibri" w:hint="default"/>
      </w:rPr>
    </w:lvl>
  </w:abstractNum>
  <w:abstractNum w:abstractNumId="21" w15:restartNumberingAfterBreak="0">
    <w:nsid w:val="6516523F"/>
    <w:multiLevelType w:val="multilevel"/>
    <w:tmpl w:val="C90C8908"/>
    <w:lvl w:ilvl="0">
      <w:start w:val="4"/>
      <w:numFmt w:val="decimal"/>
      <w:lvlText w:val="%1"/>
      <w:lvlJc w:val="left"/>
      <w:pPr>
        <w:ind w:left="360" w:hanging="360"/>
      </w:pPr>
      <w:rPr>
        <w:rFonts w:eastAsiaTheme="minorHAnsi" w:cs="Arial" w:hint="default"/>
        <w:b w:val="0"/>
      </w:rPr>
    </w:lvl>
    <w:lvl w:ilvl="1">
      <w:start w:val="1"/>
      <w:numFmt w:val="decimal"/>
      <w:lvlText w:val="%1.%2"/>
      <w:lvlJc w:val="left"/>
      <w:pPr>
        <w:ind w:left="360" w:hanging="360"/>
      </w:pPr>
      <w:rPr>
        <w:rFonts w:eastAsiaTheme="minorHAnsi" w:cs="Arial" w:hint="default"/>
        <w:b w:val="0"/>
      </w:rPr>
    </w:lvl>
    <w:lvl w:ilvl="2">
      <w:start w:val="1"/>
      <w:numFmt w:val="decimal"/>
      <w:lvlText w:val="%1.%2.%3"/>
      <w:lvlJc w:val="left"/>
      <w:pPr>
        <w:ind w:left="720" w:hanging="720"/>
      </w:pPr>
      <w:rPr>
        <w:rFonts w:eastAsiaTheme="minorHAnsi" w:cs="Arial" w:hint="default"/>
        <w:b w:val="0"/>
      </w:rPr>
    </w:lvl>
    <w:lvl w:ilvl="3">
      <w:start w:val="1"/>
      <w:numFmt w:val="decimal"/>
      <w:lvlText w:val="%1.%2.%3.%4"/>
      <w:lvlJc w:val="left"/>
      <w:pPr>
        <w:ind w:left="720" w:hanging="720"/>
      </w:pPr>
      <w:rPr>
        <w:rFonts w:eastAsiaTheme="minorHAnsi" w:cs="Arial" w:hint="default"/>
        <w:b w:val="0"/>
      </w:rPr>
    </w:lvl>
    <w:lvl w:ilvl="4">
      <w:start w:val="1"/>
      <w:numFmt w:val="decimal"/>
      <w:lvlText w:val="%1.%2.%3.%4.%5"/>
      <w:lvlJc w:val="left"/>
      <w:pPr>
        <w:ind w:left="1080" w:hanging="1080"/>
      </w:pPr>
      <w:rPr>
        <w:rFonts w:eastAsiaTheme="minorHAnsi" w:cs="Arial" w:hint="default"/>
        <w:b w:val="0"/>
      </w:rPr>
    </w:lvl>
    <w:lvl w:ilvl="5">
      <w:start w:val="1"/>
      <w:numFmt w:val="decimal"/>
      <w:lvlText w:val="%1.%2.%3.%4.%5.%6"/>
      <w:lvlJc w:val="left"/>
      <w:pPr>
        <w:ind w:left="1440" w:hanging="1440"/>
      </w:pPr>
      <w:rPr>
        <w:rFonts w:eastAsiaTheme="minorHAnsi" w:cs="Arial" w:hint="default"/>
        <w:b w:val="0"/>
      </w:rPr>
    </w:lvl>
    <w:lvl w:ilvl="6">
      <w:start w:val="1"/>
      <w:numFmt w:val="decimal"/>
      <w:lvlText w:val="%1.%2.%3.%4.%5.%6.%7"/>
      <w:lvlJc w:val="left"/>
      <w:pPr>
        <w:ind w:left="1440" w:hanging="1440"/>
      </w:pPr>
      <w:rPr>
        <w:rFonts w:eastAsiaTheme="minorHAnsi" w:cs="Arial" w:hint="default"/>
        <w:b w:val="0"/>
      </w:rPr>
    </w:lvl>
    <w:lvl w:ilvl="7">
      <w:start w:val="1"/>
      <w:numFmt w:val="decimal"/>
      <w:lvlText w:val="%1.%2.%3.%4.%5.%6.%7.%8"/>
      <w:lvlJc w:val="left"/>
      <w:pPr>
        <w:ind w:left="1800" w:hanging="1800"/>
      </w:pPr>
      <w:rPr>
        <w:rFonts w:eastAsiaTheme="minorHAnsi" w:cs="Arial" w:hint="default"/>
        <w:b w:val="0"/>
      </w:rPr>
    </w:lvl>
    <w:lvl w:ilvl="8">
      <w:start w:val="1"/>
      <w:numFmt w:val="decimal"/>
      <w:lvlText w:val="%1.%2.%3.%4.%5.%6.%7.%8.%9"/>
      <w:lvlJc w:val="left"/>
      <w:pPr>
        <w:ind w:left="1800" w:hanging="1800"/>
      </w:pPr>
      <w:rPr>
        <w:rFonts w:eastAsiaTheme="minorHAnsi" w:cs="Arial" w:hint="default"/>
        <w:b w:val="0"/>
      </w:rPr>
    </w:lvl>
  </w:abstractNum>
  <w:abstractNum w:abstractNumId="22" w15:restartNumberingAfterBreak="0">
    <w:nsid w:val="660A63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CB2EA7"/>
    <w:multiLevelType w:val="hybridMultilevel"/>
    <w:tmpl w:val="3ADEC556"/>
    <w:lvl w:ilvl="0" w:tplc="9B7E96CA">
      <w:start w:val="3"/>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0E24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451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
  </w:num>
  <w:num w:numId="3">
    <w:abstractNumId w:val="19"/>
  </w:num>
  <w:num w:numId="4">
    <w:abstractNumId w:val="7"/>
  </w:num>
  <w:num w:numId="5">
    <w:abstractNumId w:val="11"/>
  </w:num>
  <w:num w:numId="6">
    <w:abstractNumId w:val="2"/>
  </w:num>
  <w:num w:numId="7">
    <w:abstractNumId w:val="22"/>
  </w:num>
  <w:num w:numId="8">
    <w:abstractNumId w:val="25"/>
  </w:num>
  <w:num w:numId="9">
    <w:abstractNumId w:val="24"/>
  </w:num>
  <w:num w:numId="10">
    <w:abstractNumId w:val="14"/>
  </w:num>
  <w:num w:numId="11">
    <w:abstractNumId w:val="15"/>
  </w:num>
  <w:num w:numId="12">
    <w:abstractNumId w:val="5"/>
  </w:num>
  <w:num w:numId="13">
    <w:abstractNumId w:val="8"/>
  </w:num>
  <w:num w:numId="14">
    <w:abstractNumId w:val="3"/>
  </w:num>
  <w:num w:numId="15">
    <w:abstractNumId w:val="13"/>
  </w:num>
  <w:num w:numId="16">
    <w:abstractNumId w:val="12"/>
  </w:num>
  <w:num w:numId="17">
    <w:abstractNumId w:val="6"/>
  </w:num>
  <w:num w:numId="18">
    <w:abstractNumId w:val="4"/>
  </w:num>
  <w:num w:numId="19">
    <w:abstractNumId w:val="18"/>
  </w:num>
  <w:num w:numId="20">
    <w:abstractNumId w:val="20"/>
  </w:num>
  <w:num w:numId="21">
    <w:abstractNumId w:val="17"/>
  </w:num>
  <w:num w:numId="22">
    <w:abstractNumId w:val="9"/>
  </w:num>
  <w:num w:numId="23">
    <w:abstractNumId w:val="0"/>
  </w:num>
  <w:num w:numId="24">
    <w:abstractNumId w:val="21"/>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9F"/>
    <w:rsid w:val="000150F2"/>
    <w:rsid w:val="000332CC"/>
    <w:rsid w:val="00041E95"/>
    <w:rsid w:val="00053618"/>
    <w:rsid w:val="00072BC8"/>
    <w:rsid w:val="00075CCF"/>
    <w:rsid w:val="00090E13"/>
    <w:rsid w:val="000922D4"/>
    <w:rsid w:val="000A0D90"/>
    <w:rsid w:val="000A32CB"/>
    <w:rsid w:val="000C1D63"/>
    <w:rsid w:val="000C3B85"/>
    <w:rsid w:val="000D5CF6"/>
    <w:rsid w:val="00104ADB"/>
    <w:rsid w:val="00106578"/>
    <w:rsid w:val="001151E1"/>
    <w:rsid w:val="00117F4F"/>
    <w:rsid w:val="00137F84"/>
    <w:rsid w:val="00145211"/>
    <w:rsid w:val="00162F83"/>
    <w:rsid w:val="00174F14"/>
    <w:rsid w:val="00181C13"/>
    <w:rsid w:val="001846D9"/>
    <w:rsid w:val="001870C1"/>
    <w:rsid w:val="001B7280"/>
    <w:rsid w:val="001C3211"/>
    <w:rsid w:val="001C4219"/>
    <w:rsid w:val="001C4F2A"/>
    <w:rsid w:val="001C539A"/>
    <w:rsid w:val="001C60A8"/>
    <w:rsid w:val="001D17B9"/>
    <w:rsid w:val="00211053"/>
    <w:rsid w:val="00230D19"/>
    <w:rsid w:val="00240845"/>
    <w:rsid w:val="00295DC9"/>
    <w:rsid w:val="002B4C8A"/>
    <w:rsid w:val="002C5FC2"/>
    <w:rsid w:val="002C6D40"/>
    <w:rsid w:val="002D7622"/>
    <w:rsid w:val="002E00B1"/>
    <w:rsid w:val="0030021E"/>
    <w:rsid w:val="00302472"/>
    <w:rsid w:val="00392E45"/>
    <w:rsid w:val="003C6C4F"/>
    <w:rsid w:val="003D4BCB"/>
    <w:rsid w:val="003D53AF"/>
    <w:rsid w:val="003F683D"/>
    <w:rsid w:val="00406836"/>
    <w:rsid w:val="00422E7F"/>
    <w:rsid w:val="004311A8"/>
    <w:rsid w:val="00450376"/>
    <w:rsid w:val="00451B75"/>
    <w:rsid w:val="00453593"/>
    <w:rsid w:val="00483C57"/>
    <w:rsid w:val="00483E95"/>
    <w:rsid w:val="0049673D"/>
    <w:rsid w:val="004B460B"/>
    <w:rsid w:val="00540875"/>
    <w:rsid w:val="00564FEA"/>
    <w:rsid w:val="005834E5"/>
    <w:rsid w:val="00595697"/>
    <w:rsid w:val="0059689A"/>
    <w:rsid w:val="005A6FB0"/>
    <w:rsid w:val="005D6193"/>
    <w:rsid w:val="005E2006"/>
    <w:rsid w:val="005E5C06"/>
    <w:rsid w:val="005F3A52"/>
    <w:rsid w:val="005F5B39"/>
    <w:rsid w:val="005F622E"/>
    <w:rsid w:val="00601082"/>
    <w:rsid w:val="00607A36"/>
    <w:rsid w:val="00617FDA"/>
    <w:rsid w:val="00630945"/>
    <w:rsid w:val="00636A36"/>
    <w:rsid w:val="00643077"/>
    <w:rsid w:val="00655944"/>
    <w:rsid w:val="006611E3"/>
    <w:rsid w:val="00692CF6"/>
    <w:rsid w:val="006A2FE1"/>
    <w:rsid w:val="006B3619"/>
    <w:rsid w:val="006E468D"/>
    <w:rsid w:val="006E7446"/>
    <w:rsid w:val="007009C8"/>
    <w:rsid w:val="007169EF"/>
    <w:rsid w:val="00717C39"/>
    <w:rsid w:val="00725438"/>
    <w:rsid w:val="00730C66"/>
    <w:rsid w:val="007500C4"/>
    <w:rsid w:val="0075165A"/>
    <w:rsid w:val="0075187B"/>
    <w:rsid w:val="00751F9C"/>
    <w:rsid w:val="00757471"/>
    <w:rsid w:val="00760824"/>
    <w:rsid w:val="00765D51"/>
    <w:rsid w:val="0076609A"/>
    <w:rsid w:val="00777F48"/>
    <w:rsid w:val="007931D0"/>
    <w:rsid w:val="00795C1D"/>
    <w:rsid w:val="007C2E32"/>
    <w:rsid w:val="007C4788"/>
    <w:rsid w:val="007E729F"/>
    <w:rsid w:val="007E73E9"/>
    <w:rsid w:val="00814C6D"/>
    <w:rsid w:val="008273E6"/>
    <w:rsid w:val="008419C7"/>
    <w:rsid w:val="00852268"/>
    <w:rsid w:val="00863341"/>
    <w:rsid w:val="008643B9"/>
    <w:rsid w:val="0086493F"/>
    <w:rsid w:val="008A6599"/>
    <w:rsid w:val="008C1974"/>
    <w:rsid w:val="00901AF5"/>
    <w:rsid w:val="00933597"/>
    <w:rsid w:val="00947783"/>
    <w:rsid w:val="0095412C"/>
    <w:rsid w:val="009A7C53"/>
    <w:rsid w:val="009B4038"/>
    <w:rsid w:val="009B6537"/>
    <w:rsid w:val="009C650D"/>
    <w:rsid w:val="009E46E4"/>
    <w:rsid w:val="00A1089F"/>
    <w:rsid w:val="00A27441"/>
    <w:rsid w:val="00A35728"/>
    <w:rsid w:val="00A4448F"/>
    <w:rsid w:val="00A45886"/>
    <w:rsid w:val="00A47AFF"/>
    <w:rsid w:val="00A5720D"/>
    <w:rsid w:val="00A671E6"/>
    <w:rsid w:val="00AC529B"/>
    <w:rsid w:val="00AD27B6"/>
    <w:rsid w:val="00AE2BA7"/>
    <w:rsid w:val="00AF1EA5"/>
    <w:rsid w:val="00AF3E81"/>
    <w:rsid w:val="00B1306C"/>
    <w:rsid w:val="00B22B84"/>
    <w:rsid w:val="00B35BBA"/>
    <w:rsid w:val="00B6145E"/>
    <w:rsid w:val="00BA2621"/>
    <w:rsid w:val="00BC22BB"/>
    <w:rsid w:val="00BC495C"/>
    <w:rsid w:val="00BD20A1"/>
    <w:rsid w:val="00BD25CC"/>
    <w:rsid w:val="00BD360A"/>
    <w:rsid w:val="00BE7670"/>
    <w:rsid w:val="00C00680"/>
    <w:rsid w:val="00C00A17"/>
    <w:rsid w:val="00C010BB"/>
    <w:rsid w:val="00C0720D"/>
    <w:rsid w:val="00C077F2"/>
    <w:rsid w:val="00C26D45"/>
    <w:rsid w:val="00C33568"/>
    <w:rsid w:val="00C42D36"/>
    <w:rsid w:val="00C515CE"/>
    <w:rsid w:val="00C521B7"/>
    <w:rsid w:val="00C60AC9"/>
    <w:rsid w:val="00C729FF"/>
    <w:rsid w:val="00C75932"/>
    <w:rsid w:val="00C76C3E"/>
    <w:rsid w:val="00C96AB4"/>
    <w:rsid w:val="00CA22E7"/>
    <w:rsid w:val="00CB53FD"/>
    <w:rsid w:val="00CD2AF9"/>
    <w:rsid w:val="00CD4C26"/>
    <w:rsid w:val="00CD79FA"/>
    <w:rsid w:val="00CF6983"/>
    <w:rsid w:val="00D35C03"/>
    <w:rsid w:val="00D41E58"/>
    <w:rsid w:val="00D76E5E"/>
    <w:rsid w:val="00D83C01"/>
    <w:rsid w:val="00D97B8D"/>
    <w:rsid w:val="00DC0C96"/>
    <w:rsid w:val="00DC13E9"/>
    <w:rsid w:val="00DC4DB1"/>
    <w:rsid w:val="00DE294F"/>
    <w:rsid w:val="00E1292C"/>
    <w:rsid w:val="00E14817"/>
    <w:rsid w:val="00E3731E"/>
    <w:rsid w:val="00E47ED3"/>
    <w:rsid w:val="00E83C25"/>
    <w:rsid w:val="00EC11D6"/>
    <w:rsid w:val="00EC25BB"/>
    <w:rsid w:val="00EC70D1"/>
    <w:rsid w:val="00EF070C"/>
    <w:rsid w:val="00F0778D"/>
    <w:rsid w:val="00F1001C"/>
    <w:rsid w:val="00F526DA"/>
    <w:rsid w:val="00F65D50"/>
    <w:rsid w:val="00F65E58"/>
    <w:rsid w:val="00F71641"/>
    <w:rsid w:val="00F71CA2"/>
    <w:rsid w:val="00F72F79"/>
    <w:rsid w:val="00FA3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6147"/>
  <w15:chartTrackingRefBased/>
  <w15:docId w15:val="{BEA055ED-5EF8-4DC2-9096-DBEBFFE7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268"/>
    <w:pPr>
      <w:ind w:left="720"/>
      <w:contextualSpacing/>
    </w:pPr>
  </w:style>
  <w:style w:type="paragraph" w:styleId="NormalWeb">
    <w:name w:val="Normal (Web)"/>
    <w:basedOn w:val="Normal"/>
    <w:uiPriority w:val="99"/>
    <w:unhideWhenUsed/>
    <w:rsid w:val="002B4C8A"/>
    <w:rPr>
      <w:lang w:eastAsia="en-GB"/>
    </w:rPr>
  </w:style>
  <w:style w:type="character" w:customStyle="1" w:styleId="apple-tab-span">
    <w:name w:val="apple-tab-span"/>
    <w:basedOn w:val="DefaultParagraphFont"/>
    <w:rsid w:val="00145211"/>
  </w:style>
  <w:style w:type="paragraph" w:styleId="Header">
    <w:name w:val="header"/>
    <w:basedOn w:val="Normal"/>
    <w:link w:val="HeaderChar"/>
    <w:uiPriority w:val="99"/>
    <w:unhideWhenUsed/>
    <w:rsid w:val="00643077"/>
    <w:pPr>
      <w:tabs>
        <w:tab w:val="center" w:pos="4513"/>
        <w:tab w:val="right" w:pos="9026"/>
      </w:tabs>
    </w:pPr>
  </w:style>
  <w:style w:type="character" w:customStyle="1" w:styleId="HeaderChar">
    <w:name w:val="Header Char"/>
    <w:basedOn w:val="DefaultParagraphFont"/>
    <w:link w:val="Header"/>
    <w:uiPriority w:val="99"/>
    <w:rsid w:val="00643077"/>
    <w:rPr>
      <w:rFonts w:ascii="Calibri" w:hAnsi="Calibri" w:cs="Calibri"/>
    </w:rPr>
  </w:style>
  <w:style w:type="paragraph" w:styleId="Footer">
    <w:name w:val="footer"/>
    <w:basedOn w:val="Normal"/>
    <w:link w:val="FooterChar"/>
    <w:uiPriority w:val="99"/>
    <w:unhideWhenUsed/>
    <w:rsid w:val="00643077"/>
    <w:pPr>
      <w:tabs>
        <w:tab w:val="center" w:pos="4513"/>
        <w:tab w:val="right" w:pos="9026"/>
      </w:tabs>
    </w:pPr>
  </w:style>
  <w:style w:type="character" w:customStyle="1" w:styleId="FooterChar">
    <w:name w:val="Footer Char"/>
    <w:basedOn w:val="DefaultParagraphFont"/>
    <w:link w:val="Footer"/>
    <w:uiPriority w:val="99"/>
    <w:rsid w:val="00643077"/>
    <w:rPr>
      <w:rFonts w:ascii="Calibri" w:hAnsi="Calibri" w:cs="Calibri"/>
    </w:rPr>
  </w:style>
  <w:style w:type="paragraph" w:styleId="Revision">
    <w:name w:val="Revision"/>
    <w:hidden/>
    <w:uiPriority w:val="99"/>
    <w:semiHidden/>
    <w:rsid w:val="0030247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02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09797">
      <w:bodyDiv w:val="1"/>
      <w:marLeft w:val="0"/>
      <w:marRight w:val="0"/>
      <w:marTop w:val="0"/>
      <w:marBottom w:val="0"/>
      <w:divBdr>
        <w:top w:val="none" w:sz="0" w:space="0" w:color="auto"/>
        <w:left w:val="none" w:sz="0" w:space="0" w:color="auto"/>
        <w:bottom w:val="none" w:sz="0" w:space="0" w:color="auto"/>
        <w:right w:val="none" w:sz="0" w:space="0" w:color="auto"/>
      </w:divBdr>
    </w:div>
    <w:div w:id="303580699">
      <w:bodyDiv w:val="1"/>
      <w:marLeft w:val="0"/>
      <w:marRight w:val="0"/>
      <w:marTop w:val="0"/>
      <w:marBottom w:val="0"/>
      <w:divBdr>
        <w:top w:val="none" w:sz="0" w:space="0" w:color="auto"/>
        <w:left w:val="none" w:sz="0" w:space="0" w:color="auto"/>
        <w:bottom w:val="none" w:sz="0" w:space="0" w:color="auto"/>
        <w:right w:val="none" w:sz="0" w:space="0" w:color="auto"/>
      </w:divBdr>
    </w:div>
    <w:div w:id="863900620">
      <w:bodyDiv w:val="1"/>
      <w:marLeft w:val="0"/>
      <w:marRight w:val="0"/>
      <w:marTop w:val="0"/>
      <w:marBottom w:val="0"/>
      <w:divBdr>
        <w:top w:val="none" w:sz="0" w:space="0" w:color="auto"/>
        <w:left w:val="none" w:sz="0" w:space="0" w:color="auto"/>
        <w:bottom w:val="none" w:sz="0" w:space="0" w:color="auto"/>
        <w:right w:val="none" w:sz="0" w:space="0" w:color="auto"/>
      </w:divBdr>
    </w:div>
    <w:div w:id="1011687095">
      <w:bodyDiv w:val="1"/>
      <w:marLeft w:val="0"/>
      <w:marRight w:val="0"/>
      <w:marTop w:val="0"/>
      <w:marBottom w:val="0"/>
      <w:divBdr>
        <w:top w:val="none" w:sz="0" w:space="0" w:color="auto"/>
        <w:left w:val="none" w:sz="0" w:space="0" w:color="auto"/>
        <w:bottom w:val="none" w:sz="0" w:space="0" w:color="auto"/>
        <w:right w:val="none" w:sz="0" w:space="0" w:color="auto"/>
      </w:divBdr>
    </w:div>
    <w:div w:id="1084956127">
      <w:bodyDiv w:val="1"/>
      <w:marLeft w:val="0"/>
      <w:marRight w:val="0"/>
      <w:marTop w:val="0"/>
      <w:marBottom w:val="0"/>
      <w:divBdr>
        <w:top w:val="none" w:sz="0" w:space="0" w:color="auto"/>
        <w:left w:val="none" w:sz="0" w:space="0" w:color="auto"/>
        <w:bottom w:val="none" w:sz="0" w:space="0" w:color="auto"/>
        <w:right w:val="none" w:sz="0" w:space="0" w:color="auto"/>
      </w:divBdr>
    </w:div>
    <w:div w:id="1398354382">
      <w:bodyDiv w:val="1"/>
      <w:marLeft w:val="0"/>
      <w:marRight w:val="0"/>
      <w:marTop w:val="0"/>
      <w:marBottom w:val="0"/>
      <w:divBdr>
        <w:top w:val="none" w:sz="0" w:space="0" w:color="auto"/>
        <w:left w:val="none" w:sz="0" w:space="0" w:color="auto"/>
        <w:bottom w:val="none" w:sz="0" w:space="0" w:color="auto"/>
        <w:right w:val="none" w:sz="0" w:space="0" w:color="auto"/>
      </w:divBdr>
    </w:div>
    <w:div w:id="1609699066">
      <w:bodyDiv w:val="1"/>
      <w:marLeft w:val="0"/>
      <w:marRight w:val="0"/>
      <w:marTop w:val="0"/>
      <w:marBottom w:val="0"/>
      <w:divBdr>
        <w:top w:val="none" w:sz="0" w:space="0" w:color="auto"/>
        <w:left w:val="none" w:sz="0" w:space="0" w:color="auto"/>
        <w:bottom w:val="none" w:sz="0" w:space="0" w:color="auto"/>
        <w:right w:val="none" w:sz="0" w:space="0" w:color="auto"/>
      </w:divBdr>
    </w:div>
    <w:div w:id="1730570535">
      <w:bodyDiv w:val="1"/>
      <w:marLeft w:val="0"/>
      <w:marRight w:val="0"/>
      <w:marTop w:val="0"/>
      <w:marBottom w:val="0"/>
      <w:divBdr>
        <w:top w:val="none" w:sz="0" w:space="0" w:color="auto"/>
        <w:left w:val="none" w:sz="0" w:space="0" w:color="auto"/>
        <w:bottom w:val="none" w:sz="0" w:space="0" w:color="auto"/>
        <w:right w:val="none" w:sz="0" w:space="0" w:color="auto"/>
      </w:divBdr>
    </w:div>
    <w:div w:id="17806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B5BB48C667A418BAB8D928BAF7C12" ma:contentTypeVersion="12" ma:contentTypeDescription="Create a new document." ma:contentTypeScope="" ma:versionID="783339e5ec53d5a3b948cb06300ff91b">
  <xsd:schema xmlns:xsd="http://www.w3.org/2001/XMLSchema" xmlns:xs="http://www.w3.org/2001/XMLSchema" xmlns:p="http://schemas.microsoft.com/office/2006/metadata/properties" xmlns:ns2="eb45361f-e1fc-4edb-ad6a-a2181d118e57" xmlns:ns3="110aba12-e8e3-4d3c-a7a9-cd3d35f66581" targetNamespace="http://schemas.microsoft.com/office/2006/metadata/properties" ma:root="true" ma:fieldsID="23f7683addc092a6394974cdf9048255" ns2:_="" ns3:_="">
    <xsd:import namespace="eb45361f-e1fc-4edb-ad6a-a2181d118e57"/>
    <xsd:import namespace="110aba12-e8e3-4d3c-a7a9-cd3d35f66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5361f-e1fc-4edb-ad6a-a2181d118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aba12-e8e3-4d3c-a7a9-cd3d35f665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C56DD-231A-4135-B06A-AC7ACE5B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5361f-e1fc-4edb-ad6a-a2181d118e57"/>
    <ds:schemaRef ds:uri="110aba12-e8e3-4d3c-a7a9-cd3d35f66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295F6-9BCE-4078-974E-C2F23593F0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653CD-93C2-48AC-9287-DEDB44C38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Browning</dc:creator>
  <cp:keywords/>
  <dc:description/>
  <cp:lastModifiedBy>Vicky Browning</cp:lastModifiedBy>
  <cp:revision>190</cp:revision>
  <dcterms:created xsi:type="dcterms:W3CDTF">2020-03-16T11:51:00Z</dcterms:created>
  <dcterms:modified xsi:type="dcterms:W3CDTF">2020-03-17T17:21:00Z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0x0101003F4B5BB48C667A418BAB8D928BAF7C12</vt:lpwstr>
  </property>
</Properties>
</file>